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7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28.png" ContentType="image/png"/>
  <Override PartName="/word/media/rId31.png" ContentType="image/png"/>
  <Override PartName="/word/media/rId40.png" ContentType="image/png"/>
  <Override PartName="/word/media/rId34.png" ContentType="image/png"/>
  <Override PartName="/word/media/rId43.png" ContentType="image/png"/>
  <Override PartName="/word/media/rId46.png" ContentType="image/png"/>
  <Override PartName="/word/media/rId4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1</w:t>
      </w:r>
    </w:p>
    <w:p>
      <w:pPr>
        <w:pStyle w:val="Author"/>
      </w:pPr>
      <w:r>
        <w:t xml:space="preserve">Калашникова</w:t>
      </w:r>
      <w:r>
        <w:t xml:space="preserve"> </w:t>
      </w:r>
      <w:r>
        <w:t xml:space="preserve">Дарья</w:t>
      </w:r>
      <w:r>
        <w:t xml:space="preserve"> </w:t>
      </w:r>
      <w:r>
        <w:t xml:space="preserve">Викторовна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Установить Linux Rocky и ознакомиться с его возможностями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Установить ОС и выполнить домашнее задание</w:t>
      </w:r>
    </w:p>
    <w:bookmarkEnd w:id="21"/>
    <w:bookmarkStart w:id="8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назовем нашу виртуальную машину и выберем место установки (рис. 1).</w:t>
      </w:r>
    </w:p>
    <w:p>
      <w:pPr>
        <w:pStyle w:val="CaptionedFigure"/>
      </w:pPr>
      <w:r>
        <w:drawing>
          <wp:inline>
            <wp:extent cx="3733800" cy="2014207"/>
            <wp:effectExtent b="0" l="0" r="0" t="0"/>
            <wp:docPr descr="Выбор диска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4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Выбор диска</w:t>
      </w:r>
    </w:p>
    <w:p>
      <w:pPr>
        <w:pStyle w:val="BodyText"/>
      </w:pPr>
      <w:r>
        <w:t xml:space="preserve">Выделяем основную память и процессоры (рис. 2).</w:t>
      </w:r>
    </w:p>
    <w:p>
      <w:pPr>
        <w:pStyle w:val="CaptionedFigure"/>
      </w:pPr>
      <w:r>
        <w:drawing>
          <wp:inline>
            <wp:extent cx="3733800" cy="2043764"/>
            <wp:effectExtent b="0" l="0" r="0" t="0"/>
            <wp:docPr descr="Выделение памяти и процессоров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43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Выделение памяти и процессоров</w:t>
      </w:r>
    </w:p>
    <w:p>
      <w:pPr>
        <w:pStyle w:val="BodyText"/>
      </w:pPr>
      <w:r>
        <w:t xml:space="preserve">Выделяем 40 ГБ для виртуального жесткого диска (рис. 3).</w:t>
      </w:r>
    </w:p>
    <w:p>
      <w:pPr>
        <w:pStyle w:val="CaptionedFigure"/>
      </w:pPr>
      <w:r>
        <w:drawing>
          <wp:inline>
            <wp:extent cx="3733800" cy="1984144"/>
            <wp:effectExtent b="0" l="0" r="0" t="0"/>
            <wp:docPr descr="Выделение памяти для диска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84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Выделение памяти для диска</w:t>
      </w:r>
    </w:p>
    <w:p>
      <w:pPr>
        <w:pStyle w:val="BodyText"/>
      </w:pPr>
      <w:r>
        <w:t xml:space="preserve">Выбираем английский язык для интерфейса (рис. 4).</w:t>
      </w:r>
    </w:p>
    <w:p>
      <w:pPr>
        <w:pStyle w:val="CaptionedFigure"/>
      </w:pPr>
      <w:r>
        <w:drawing>
          <wp:inline>
            <wp:extent cx="3733800" cy="2356014"/>
            <wp:effectExtent b="0" l="0" r="0" t="0"/>
            <wp:docPr descr="Установка английского языка интерфейса ОС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6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Установка английского языка интерфейса ОС</w:t>
      </w:r>
    </w:p>
    <w:p>
      <w:pPr>
        <w:pStyle w:val="BodyText"/>
      </w:pPr>
      <w:r>
        <w:t xml:space="preserve">Отключаем KDUMP (рис. 5).</w:t>
      </w:r>
    </w:p>
    <w:p>
      <w:pPr>
        <w:pStyle w:val="CaptionedFigure"/>
      </w:pPr>
      <w:r>
        <w:drawing>
          <wp:inline>
            <wp:extent cx="3733800" cy="2026523"/>
            <wp:effectExtent b="0" l="0" r="0" t="0"/>
            <wp:docPr descr="Отключение KDUMP" title="" id="35" name="Picture"/>
            <a:graphic>
              <a:graphicData uri="http://schemas.openxmlformats.org/drawingml/2006/picture">
                <pic:pic>
                  <pic:nvPicPr>
                    <pic:cNvPr descr="image/6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26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Отключение KDUMP</w:t>
      </w:r>
    </w:p>
    <w:p>
      <w:pPr>
        <w:pStyle w:val="BodyText"/>
      </w:pPr>
      <w:r>
        <w:t xml:space="preserve">Далее мы устанавливаем настройки: выбор программ (рис. 6).</w:t>
      </w:r>
    </w:p>
    <w:p>
      <w:pPr>
        <w:pStyle w:val="CaptionedFigure"/>
      </w:pPr>
      <w:r>
        <w:drawing>
          <wp:inline>
            <wp:extent cx="3733800" cy="2197984"/>
            <wp:effectExtent b="0" l="0" r="0" t="0"/>
            <wp:docPr descr="Окно настройки установки" title="" id="38" name="Picture"/>
            <a:graphic>
              <a:graphicData uri="http://schemas.openxmlformats.org/drawingml/2006/picture">
                <pic:pic>
                  <pic:nvPicPr>
                    <pic:cNvPr descr="image/10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7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Окно настройки установки</w:t>
      </w:r>
    </w:p>
    <w:p>
      <w:pPr>
        <w:pStyle w:val="BodyText"/>
      </w:pPr>
      <w:r>
        <w:t xml:space="preserve">Теперь мы выбираем место установки диска (рис. 7).</w:t>
      </w:r>
    </w:p>
    <w:p>
      <w:pPr>
        <w:pStyle w:val="CaptionedFigure"/>
      </w:pPr>
      <w:r>
        <w:drawing>
          <wp:inline>
            <wp:extent cx="3733800" cy="2100043"/>
            <wp:effectExtent b="0" l="0" r="0" t="0"/>
            <wp:docPr descr="Окно с местом установки" title="" id="41" name="Picture"/>
            <a:graphic>
              <a:graphicData uri="http://schemas.openxmlformats.org/drawingml/2006/picture">
                <pic:pic>
                  <pic:nvPicPr>
                    <pic:cNvPr descr="image/5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Окно с местом установки</w:t>
      </w:r>
    </w:p>
    <w:p>
      <w:pPr>
        <w:pStyle w:val="BodyText"/>
      </w:pPr>
      <w:r>
        <w:t xml:space="preserve">Включаем сетевое соединение с именем узла dvkalashnikova.localdomain (рис. 8).</w:t>
      </w:r>
    </w:p>
    <w:p>
      <w:pPr>
        <w:pStyle w:val="CaptionedFigure"/>
      </w:pPr>
      <w:r>
        <w:drawing>
          <wp:inline>
            <wp:extent cx="3733800" cy="2361698"/>
            <wp:effectExtent b="0" l="0" r="0" t="0"/>
            <wp:docPr descr="Окно настройки установки сети и имени узла" title="" id="44" name="Picture"/>
            <a:graphic>
              <a:graphicData uri="http://schemas.openxmlformats.org/drawingml/2006/picture">
                <pic:pic>
                  <pic:nvPicPr>
                    <pic:cNvPr descr="image/7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1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Окно настройки установки сети и имени узла</w:t>
      </w:r>
    </w:p>
    <w:p>
      <w:pPr>
        <w:pStyle w:val="BodyText"/>
      </w:pPr>
      <w:r>
        <w:t xml:space="preserve">Устанавливаем пароль для root и разрешение на ввод пароля root при использовании SSH (рис. 9).</w:t>
      </w:r>
    </w:p>
    <w:p>
      <w:pPr>
        <w:pStyle w:val="CaptionedFigure"/>
      </w:pPr>
      <w:r>
        <w:drawing>
          <wp:inline>
            <wp:extent cx="3733800" cy="1681078"/>
            <wp:effectExtent b="0" l="0" r="0" t="0"/>
            <wp:docPr descr="Установка пароля для root" title="" id="47" name="Picture"/>
            <a:graphic>
              <a:graphicData uri="http://schemas.openxmlformats.org/drawingml/2006/picture">
                <pic:pic>
                  <pic:nvPicPr>
                    <pic:cNvPr descr="image/8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1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Установка пароля для root</w:t>
      </w:r>
    </w:p>
    <w:p>
      <w:pPr>
        <w:pStyle w:val="BodyText"/>
      </w:pPr>
      <w:r>
        <w:t xml:space="preserve">Задаем локального пользователя с правами администратора (рис. 10).</w:t>
      </w:r>
    </w:p>
    <w:p>
      <w:pPr>
        <w:pStyle w:val="CaptionedFigure"/>
      </w:pPr>
      <w:r>
        <w:drawing>
          <wp:inline>
            <wp:extent cx="3733800" cy="1665372"/>
            <wp:effectExtent b="0" l="0" r="0" t="0"/>
            <wp:docPr descr="Установка пароля для пользователя с правами администратора" title="" id="50" name="Picture"/>
            <a:graphic>
              <a:graphicData uri="http://schemas.openxmlformats.org/drawingml/2006/picture">
                <pic:pic>
                  <pic:nvPicPr>
                    <pic:cNvPr descr="image/9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5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Установка пароля для пользователя с правами администратора</w:t>
      </w:r>
    </w:p>
    <w:p>
      <w:pPr>
        <w:pStyle w:val="BodyText"/>
      </w:pPr>
      <w:r>
        <w:t xml:space="preserve">Далее нажимаем Begin Installation для установки (рис. 11).</w:t>
      </w:r>
    </w:p>
    <w:p>
      <w:pPr>
        <w:pStyle w:val="CaptionedFigure"/>
      </w:pPr>
      <w:r>
        <w:drawing>
          <wp:inline>
            <wp:extent cx="3733800" cy="2305433"/>
            <wp:effectExtent b="0" l="0" r="0" t="0"/>
            <wp:docPr descr="Установка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05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Установка</w:t>
      </w:r>
    </w:p>
    <w:p>
      <w:pPr>
        <w:pStyle w:val="BodyText"/>
      </w:pPr>
      <w:r>
        <w:t xml:space="preserve">Завершение установки ОС (рис. 12).</w:t>
      </w:r>
    </w:p>
    <w:p>
      <w:pPr>
        <w:pStyle w:val="CaptionedFigure"/>
      </w:pPr>
      <w:r>
        <w:drawing>
          <wp:inline>
            <wp:extent cx="3733800" cy="2264480"/>
            <wp:effectExtent b="0" l="0" r="0" t="0"/>
            <wp:docPr descr="Завершение установки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Завершение установки</w:t>
      </w:r>
    </w:p>
    <w:p>
      <w:pPr>
        <w:pStyle w:val="BodyText"/>
      </w:pPr>
      <w:r>
        <w:t xml:space="preserve">Дальше нужно подключить образ диска дополнительной гостевой ОС (рис. 13).</w:t>
      </w:r>
    </w:p>
    <w:p>
      <w:pPr>
        <w:pStyle w:val="CaptionedFigure"/>
      </w:pPr>
      <w:r>
        <w:drawing>
          <wp:inline>
            <wp:extent cx="3733800" cy="1494206"/>
            <wp:effectExtent b="0" l="0" r="0" t="0"/>
            <wp:docPr descr="Подключение дополнительного образа диска гостевой ОС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94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Подключение дополнительного образа диска гостевой ОС</w:t>
      </w:r>
    </w:p>
    <w:p>
      <w:pPr>
        <w:pStyle w:val="BodyText"/>
      </w:pPr>
      <w:r>
        <w:t xml:space="preserve">Тепрь мы запускаем образ этого диска (рис. 14).</w:t>
      </w:r>
    </w:p>
    <w:p>
      <w:pPr>
        <w:pStyle w:val="CaptionedFigure"/>
      </w:pPr>
      <w:r>
        <w:drawing>
          <wp:inline>
            <wp:extent cx="3733800" cy="2785764"/>
            <wp:effectExtent b="0" l="0" r="0" t="0"/>
            <wp:docPr descr="Запуск дополнительного образа диска гостевой ОС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85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Запуск дополнительного образа диска гостевой ОС</w:t>
      </w:r>
    </w:p>
    <w:p>
      <w:pPr>
        <w:pStyle w:val="BodyText"/>
      </w:pPr>
      <w:r>
        <w:t xml:space="preserve">Далее приступаем к выполнению домашнего задания</w:t>
      </w:r>
    </w:p>
    <w:p>
      <w:pPr>
        <w:pStyle w:val="BodyText"/>
      </w:pPr>
      <w:r>
        <w:t xml:space="preserve">Получаем информацию о версии ядра Linux (Linux version) (рис. 15).</w:t>
      </w:r>
    </w:p>
    <w:p>
      <w:pPr>
        <w:pStyle w:val="CaptionedFigure"/>
      </w:pPr>
      <w:r>
        <w:drawing>
          <wp:inline>
            <wp:extent cx="3733800" cy="417038"/>
            <wp:effectExtent b="0" l="0" r="0" t="0"/>
            <wp:docPr descr="Версия ядра Linux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70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Версия ядра Linux</w:t>
      </w:r>
    </w:p>
    <w:p>
      <w:pPr>
        <w:pStyle w:val="BodyText"/>
      </w:pPr>
      <w:r>
        <w:t xml:space="preserve">Получаем информацию о частоте процессора (Detected Mhz processor) (рис. 16).</w:t>
      </w:r>
    </w:p>
    <w:p>
      <w:pPr>
        <w:pStyle w:val="CaptionedFigure"/>
      </w:pPr>
      <w:r>
        <w:drawing>
          <wp:inline>
            <wp:extent cx="3733800" cy="300270"/>
            <wp:effectExtent b="0" l="0" r="0" t="0"/>
            <wp:docPr descr="Частота процессора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02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Частота процессора</w:t>
      </w:r>
    </w:p>
    <w:p>
      <w:pPr>
        <w:pStyle w:val="BodyText"/>
      </w:pPr>
      <w:r>
        <w:t xml:space="preserve">Получаем информацию о моделе процессора (CPU0) (рис. 17).</w:t>
      </w:r>
    </w:p>
    <w:p>
      <w:pPr>
        <w:pStyle w:val="CaptionedFigure"/>
      </w:pPr>
      <w:r>
        <w:drawing>
          <wp:inline>
            <wp:extent cx="3733800" cy="306459"/>
            <wp:effectExtent b="0" l="0" r="0" t="0"/>
            <wp:docPr descr="Модель процессора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64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Модель процессора</w:t>
      </w:r>
    </w:p>
    <w:p>
      <w:pPr>
        <w:pStyle w:val="BodyText"/>
      </w:pPr>
      <w:r>
        <w:t xml:space="preserve">Получаем информацию об бъеме доступной оперативной памяти (Memory available) (рис. 18).</w:t>
      </w:r>
    </w:p>
    <w:p>
      <w:pPr>
        <w:pStyle w:val="CaptionedFigure"/>
      </w:pPr>
      <w:r>
        <w:drawing>
          <wp:inline>
            <wp:extent cx="3733800" cy="627866"/>
            <wp:effectExtent b="0" l="0" r="0" t="0"/>
            <wp:docPr descr="Объем доступной оперативной памяти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27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Объем доступной оперативной памяти</w:t>
      </w:r>
    </w:p>
    <w:p>
      <w:pPr>
        <w:pStyle w:val="BodyText"/>
      </w:pPr>
      <w:r>
        <w:t xml:space="preserve">Получаем информацию о типе обнаруженного гипервизора (Hypervisor detected) (рис. 19).</w:t>
      </w:r>
    </w:p>
    <w:p>
      <w:pPr>
        <w:pStyle w:val="CaptionedFigure"/>
      </w:pPr>
      <w:r>
        <w:drawing>
          <wp:inline>
            <wp:extent cx="3733800" cy="340067"/>
            <wp:effectExtent b="0" l="0" r="0" t="0"/>
            <wp:docPr descr="Тип обнаруженного гипервизора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0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Тип обнаруженного гипервизора</w:t>
      </w:r>
    </w:p>
    <w:p>
      <w:pPr>
        <w:pStyle w:val="BodyText"/>
      </w:pPr>
      <w:r>
        <w:t xml:space="preserve">Получаем информацию о типе файловой системы корневого раздела (XFS) и последовательность монтирования файловых систем (рис. 20).</w:t>
      </w:r>
    </w:p>
    <w:p>
      <w:pPr>
        <w:pStyle w:val="CaptionedFigure"/>
      </w:pPr>
      <w:r>
        <w:drawing>
          <wp:inline>
            <wp:extent cx="3733800" cy="669327"/>
            <wp:effectExtent b="0" l="0" r="0" t="0"/>
            <wp:docPr descr="Тип файловой системы корневого раздела и последовательсть монтирования файловых систем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69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Тип файловой системы корневого раздела и последовательсть монтирования файловых систем</w:t>
      </w:r>
    </w:p>
    <w:bookmarkEnd w:id="82"/>
    <w:bookmarkStart w:id="8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работы была установлена система</w:t>
      </w:r>
    </w:p>
    <w:bookmarkEnd w:id="83"/>
    <w:bookmarkStart w:id="85" w:name="список-литературы"/>
    <w:p>
      <w:pPr>
        <w:pStyle w:val="Heading1"/>
      </w:pPr>
      <w:r>
        <w:t xml:space="preserve">Список литературы</w:t>
      </w:r>
    </w:p>
    <w:bookmarkStart w:id="84" w:name="refs"/>
    <w:bookmarkEnd w:id="84"/>
    <w:bookmarkEnd w:id="8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7" Target="media/rId37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40" Target="media/rId40.png" /><Relationship Type="http://schemas.openxmlformats.org/officeDocument/2006/relationships/image" Id="rId34" Target="media/rId34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о лабораторной работе</dc:title>
  <dc:creator>Калашникова Дарья Викторовна</dc:creator>
  <dc:language>ru-RU</dc:language>
  <cp:keywords/>
  <dcterms:created xsi:type="dcterms:W3CDTF">2025-09-05T13:42:51Z</dcterms:created>
  <dcterms:modified xsi:type="dcterms:W3CDTF">2025-09-05T13:42:51Z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Лабораторная работа № 1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